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BEE" w:rsidRPr="00074684" w:rsidRDefault="00563BEE" w:rsidP="00563BEE">
      <w:pPr>
        <w:jc w:val="center"/>
        <w:rPr>
          <w:rFonts w:ascii="Times New Roman" w:hAnsi="Times New Roman"/>
          <w:b/>
          <w:sz w:val="24"/>
          <w:szCs w:val="28"/>
        </w:rPr>
      </w:pPr>
      <w:r w:rsidRPr="00074684">
        <w:rPr>
          <w:rFonts w:ascii="Times New Roman" w:hAnsi="Times New Roman"/>
          <w:b/>
          <w:sz w:val="24"/>
          <w:szCs w:val="28"/>
        </w:rPr>
        <w:t>Разъяснение №</w:t>
      </w:r>
      <w:r w:rsidR="00570834">
        <w:rPr>
          <w:rFonts w:ascii="Times New Roman" w:hAnsi="Times New Roman"/>
          <w:b/>
          <w:sz w:val="24"/>
          <w:szCs w:val="28"/>
        </w:rPr>
        <w:t>3</w:t>
      </w:r>
    </w:p>
    <w:p w:rsidR="005106CA" w:rsidRDefault="00563BEE" w:rsidP="00563BEE">
      <w:pPr>
        <w:pStyle w:val="a5"/>
        <w:spacing w:before="0" w:after="0"/>
        <w:jc w:val="both"/>
      </w:pPr>
      <w:r>
        <w:rPr>
          <w:szCs w:val="28"/>
        </w:rPr>
        <w:t>По открытому конкурсу</w:t>
      </w:r>
      <w:r w:rsidRPr="005106CA">
        <w:rPr>
          <w:szCs w:val="28"/>
        </w:rPr>
        <w:t xml:space="preserve"> </w:t>
      </w:r>
      <w:r>
        <w:rPr>
          <w:szCs w:val="28"/>
        </w:rPr>
        <w:t>«П</w:t>
      </w:r>
      <w:r w:rsidRPr="005106CA">
        <w:t>о отбору кредитной организации для открытия счетов и специальных счетов, владельцем которых является областной оператор, на которых формируются фонды капитального ремонта многоквартирных домов, расположенных на территории Липецкой области</w:t>
      </w:r>
      <w:r>
        <w:t>»</w:t>
      </w:r>
    </w:p>
    <w:tbl>
      <w:tblPr>
        <w:tblStyle w:val="af0"/>
        <w:tblW w:w="0" w:type="auto"/>
        <w:tblLook w:val="04A0"/>
      </w:tblPr>
      <w:tblGrid>
        <w:gridCol w:w="1902"/>
        <w:gridCol w:w="4736"/>
        <w:gridCol w:w="2932"/>
      </w:tblGrid>
      <w:tr w:rsidR="00563BEE" w:rsidTr="0093352E">
        <w:trPr>
          <w:trHeight w:val="1638"/>
        </w:trPr>
        <w:tc>
          <w:tcPr>
            <w:tcW w:w="1843" w:type="dxa"/>
          </w:tcPr>
          <w:p w:rsidR="00563BEE" w:rsidRPr="00BB3F00" w:rsidRDefault="00563BEE" w:rsidP="00630606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Пункт конкурсной доку</w:t>
            </w:r>
            <w:r w:rsidR="00630606">
              <w:rPr>
                <w:rFonts w:ascii="Times New Roman" w:hAnsi="Times New Roman"/>
                <w:b/>
                <w:szCs w:val="28"/>
              </w:rPr>
              <w:t xml:space="preserve">ментации, в отношении которого </w:t>
            </w:r>
            <w:r w:rsidR="00630606" w:rsidRPr="00BB3F00">
              <w:rPr>
                <w:rFonts w:ascii="Times New Roman" w:hAnsi="Times New Roman"/>
                <w:b/>
                <w:szCs w:val="28"/>
              </w:rPr>
              <w:t>предста</w:t>
            </w:r>
            <w:r w:rsidR="00630606">
              <w:rPr>
                <w:rFonts w:ascii="Times New Roman" w:hAnsi="Times New Roman"/>
                <w:b/>
                <w:szCs w:val="28"/>
              </w:rPr>
              <w:t>влены</w:t>
            </w:r>
            <w:r w:rsidRPr="00BB3F00">
              <w:rPr>
                <w:rFonts w:ascii="Times New Roman" w:hAnsi="Times New Roman"/>
                <w:b/>
                <w:szCs w:val="28"/>
              </w:rPr>
              <w:t xml:space="preserve"> разъяснения</w:t>
            </w:r>
          </w:p>
        </w:tc>
        <w:tc>
          <w:tcPr>
            <w:tcW w:w="3686" w:type="dxa"/>
          </w:tcPr>
          <w:p w:rsidR="00563BEE" w:rsidRPr="00BB3F00" w:rsidRDefault="00563BEE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63BEE" w:rsidRPr="00BB3F00" w:rsidRDefault="00563BEE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63BEE" w:rsidRPr="00BB3F00" w:rsidRDefault="00563BEE" w:rsidP="007165A5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Суть запроса на разъяснения положений конкурсной документации</w:t>
            </w:r>
          </w:p>
        </w:tc>
        <w:tc>
          <w:tcPr>
            <w:tcW w:w="3935" w:type="dxa"/>
          </w:tcPr>
          <w:p w:rsidR="00563BEE" w:rsidRPr="00BB3F00" w:rsidRDefault="00563BEE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63BEE" w:rsidRPr="00BB3F00" w:rsidRDefault="00563BEE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  <w:p w:rsidR="00563BEE" w:rsidRPr="00BB3F00" w:rsidRDefault="00563BEE" w:rsidP="005106CA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BB3F00">
              <w:rPr>
                <w:rFonts w:ascii="Times New Roman" w:hAnsi="Times New Roman"/>
                <w:b/>
                <w:szCs w:val="28"/>
              </w:rPr>
              <w:t>Разъяснения положений конкурсной документации</w:t>
            </w:r>
          </w:p>
        </w:tc>
      </w:tr>
      <w:tr w:rsidR="00563BEE" w:rsidTr="00563BEE">
        <w:tc>
          <w:tcPr>
            <w:tcW w:w="1843" w:type="dxa"/>
          </w:tcPr>
          <w:p w:rsidR="00563BEE" w:rsidRPr="008F4F4E" w:rsidRDefault="00570834" w:rsidP="008F4F4E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</w:rPr>
              <w:t xml:space="preserve">Приложение к конкурсной документации </w:t>
            </w:r>
            <w:r w:rsidRPr="00875780">
              <w:rPr>
                <w:rFonts w:ascii="Times New Roman" w:hAnsi="Times New Roman"/>
                <w:u w:val="single"/>
              </w:rPr>
              <w:t>Форма</w:t>
            </w:r>
            <w:r w:rsidR="00875780">
              <w:rPr>
                <w:rFonts w:ascii="Times New Roman" w:hAnsi="Times New Roman"/>
                <w:u w:val="single"/>
              </w:rPr>
              <w:t xml:space="preserve"> </w:t>
            </w:r>
            <w:r w:rsidRPr="00875780">
              <w:rPr>
                <w:rFonts w:ascii="Times New Roman" w:hAnsi="Times New Roman"/>
                <w:u w:val="single"/>
              </w:rPr>
              <w:t>№1</w:t>
            </w:r>
            <w:r>
              <w:rPr>
                <w:rFonts w:ascii="Times New Roman" w:hAnsi="Times New Roman"/>
              </w:rPr>
              <w:t xml:space="preserve"> ЗАЯВКА НА УЧАСТИЕ В ОТКРЫТОМ КОНКУРСЕ по определению организации на право заключения договоров на «Открытие и ведение счетов и специальных счетов областного оператора для формирования фонда капитального ремонта общего имущества многоквартирных домов на территории Липецкой области»</w:t>
            </w:r>
          </w:p>
          <w:p w:rsidR="00563BEE" w:rsidRPr="00BB3F00" w:rsidRDefault="00563BEE" w:rsidP="00BB3F00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686" w:type="dxa"/>
          </w:tcPr>
          <w:p w:rsidR="00563BEE" w:rsidRPr="00875780" w:rsidRDefault="00570834" w:rsidP="006E19D0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 xml:space="preserve">При сложении </w:t>
            </w:r>
            <w:proofErr w:type="gramStart"/>
            <w:r>
              <w:rPr>
                <w:rFonts w:ascii="Times New Roman" w:hAnsi="Times New Roman"/>
              </w:rPr>
              <w:t>баллов, определяющих значимость критерия итоговое суммарное значение получается</w:t>
            </w:r>
            <w:proofErr w:type="gramEnd"/>
            <w:r>
              <w:rPr>
                <w:rFonts w:ascii="Times New Roman" w:hAnsi="Times New Roman"/>
              </w:rPr>
              <w:t xml:space="preserve"> 1,1. Принимая во внимание принятую практику оценки критериев участия, согласно которой суммарное значение показателей должно равняться 1, </w:t>
            </w:r>
            <w:r w:rsidRPr="00570834">
              <w:rPr>
                <w:rFonts w:ascii="Times New Roman" w:hAnsi="Times New Roman"/>
                <w:i/>
              </w:rPr>
              <w:t xml:space="preserve">требуется подтвердить суммарное значение </w:t>
            </w:r>
            <w:r w:rsidRPr="00875780">
              <w:rPr>
                <w:rFonts w:ascii="Times New Roman" w:hAnsi="Times New Roman"/>
                <w:i/>
              </w:rPr>
              <w:t>баллов, определяющих значимость критериев.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35"/>
              <w:gridCol w:w="1013"/>
              <w:gridCol w:w="861"/>
              <w:gridCol w:w="1001"/>
            </w:tblGrid>
            <w:tr w:rsidR="00875780" w:rsidRPr="00875780" w:rsidTr="00D945D9">
              <w:trPr>
                <w:trHeight w:val="645"/>
              </w:trPr>
              <w:tc>
                <w:tcPr>
                  <w:tcW w:w="2943" w:type="dxa"/>
                </w:tcPr>
                <w:p w:rsidR="00875780" w:rsidRPr="00875780" w:rsidRDefault="00875780" w:rsidP="00875780">
                  <w:pPr>
                    <w:pStyle w:val="af1"/>
                    <w:spacing w:line="160" w:lineRule="atLeast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Наименование критерия</w:t>
                  </w:r>
                </w:p>
              </w:tc>
              <w:tc>
                <w:tcPr>
                  <w:tcW w:w="184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Значимость критерия</w:t>
                  </w:r>
                </w:p>
              </w:tc>
              <w:tc>
                <w:tcPr>
                  <w:tcW w:w="2268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Значение критерия</w:t>
                  </w:r>
                </w:p>
              </w:tc>
              <w:tc>
                <w:tcPr>
                  <w:tcW w:w="219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jc w:val="center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Количество баллов</w:t>
                  </w:r>
                </w:p>
              </w:tc>
            </w:tr>
            <w:tr w:rsidR="00875780" w:rsidRPr="00875780" w:rsidTr="00D945D9">
              <w:tc>
                <w:tcPr>
                  <w:tcW w:w="2943" w:type="dxa"/>
                </w:tcPr>
                <w:p w:rsidR="00875780" w:rsidRPr="00875780" w:rsidRDefault="00875780" w:rsidP="00875780">
                  <w:pPr>
                    <w:pStyle w:val="af1"/>
                    <w:spacing w:line="160" w:lineRule="atLeast"/>
                    <w:ind w:left="0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Цена услуг</w:t>
                  </w:r>
                </w:p>
              </w:tc>
              <w:tc>
                <w:tcPr>
                  <w:tcW w:w="184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2268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75780" w:rsidRPr="00875780" w:rsidTr="00D945D9">
              <w:tc>
                <w:tcPr>
                  <w:tcW w:w="2943" w:type="dxa"/>
                </w:tcPr>
                <w:p w:rsidR="00875780" w:rsidRPr="00875780" w:rsidRDefault="00875780" w:rsidP="00875780">
                  <w:pPr>
                    <w:pStyle w:val="af1"/>
                    <w:spacing w:line="160" w:lineRule="atLeast"/>
                    <w:ind w:left="0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Доходность услуг</w:t>
                  </w:r>
                </w:p>
              </w:tc>
              <w:tc>
                <w:tcPr>
                  <w:tcW w:w="184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0,3</w:t>
                  </w:r>
                </w:p>
              </w:tc>
              <w:tc>
                <w:tcPr>
                  <w:tcW w:w="2268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75780" w:rsidRPr="00875780" w:rsidTr="00D945D9">
              <w:tc>
                <w:tcPr>
                  <w:tcW w:w="2943" w:type="dxa"/>
                </w:tcPr>
                <w:p w:rsidR="00875780" w:rsidRPr="00875780" w:rsidRDefault="00875780" w:rsidP="00875780">
                  <w:pPr>
                    <w:pStyle w:val="af1"/>
                    <w:spacing w:line="160" w:lineRule="atLeast"/>
                    <w:ind w:left="0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Наличие международного рейтинга долгосрочной кредитоспособности банка</w:t>
                  </w:r>
                </w:p>
              </w:tc>
              <w:tc>
                <w:tcPr>
                  <w:tcW w:w="184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0,2</w:t>
                  </w:r>
                </w:p>
              </w:tc>
              <w:tc>
                <w:tcPr>
                  <w:tcW w:w="2268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75780" w:rsidRPr="00875780" w:rsidTr="00D945D9">
              <w:tc>
                <w:tcPr>
                  <w:tcW w:w="2943" w:type="dxa"/>
                </w:tcPr>
                <w:p w:rsidR="00875780" w:rsidRPr="00875780" w:rsidRDefault="00875780" w:rsidP="00875780">
                  <w:pPr>
                    <w:pStyle w:val="af1"/>
                    <w:spacing w:line="160" w:lineRule="atLeast"/>
                    <w:ind w:left="0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Наличие у кредитной организации установленной процедуры обслуживания специальных счетов</w:t>
                  </w:r>
                </w:p>
              </w:tc>
              <w:tc>
                <w:tcPr>
                  <w:tcW w:w="184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2268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75780" w:rsidRPr="00875780" w:rsidTr="00D945D9">
              <w:tc>
                <w:tcPr>
                  <w:tcW w:w="2943" w:type="dxa"/>
                </w:tcPr>
                <w:p w:rsidR="00875780" w:rsidRPr="00875780" w:rsidRDefault="00875780" w:rsidP="00875780">
                  <w:pPr>
                    <w:pStyle w:val="af1"/>
                    <w:spacing w:line="160" w:lineRule="atLeast"/>
                    <w:ind w:left="0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Участие Российской Федерации в уставном капитале банка</w:t>
                  </w:r>
                </w:p>
              </w:tc>
              <w:tc>
                <w:tcPr>
                  <w:tcW w:w="184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2268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75780" w:rsidRPr="00875780" w:rsidTr="00D945D9">
              <w:tc>
                <w:tcPr>
                  <w:tcW w:w="2943" w:type="dxa"/>
                </w:tcPr>
                <w:p w:rsidR="00875780" w:rsidRPr="00875780" w:rsidRDefault="00875780" w:rsidP="00875780">
                  <w:pPr>
                    <w:pStyle w:val="af1"/>
                    <w:spacing w:line="160" w:lineRule="atLeast"/>
                    <w:ind w:left="0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Величина собственных средств (капитала)</w:t>
                  </w:r>
                </w:p>
              </w:tc>
              <w:tc>
                <w:tcPr>
                  <w:tcW w:w="184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0,05</w:t>
                  </w:r>
                </w:p>
              </w:tc>
              <w:tc>
                <w:tcPr>
                  <w:tcW w:w="2268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75780" w:rsidRPr="00875780" w:rsidTr="00D945D9">
              <w:tc>
                <w:tcPr>
                  <w:tcW w:w="2943" w:type="dxa"/>
                </w:tcPr>
                <w:p w:rsidR="00875780" w:rsidRPr="00875780" w:rsidRDefault="00875780" w:rsidP="00875780">
                  <w:pPr>
                    <w:pStyle w:val="af1"/>
                    <w:spacing w:line="160" w:lineRule="atLeast"/>
                    <w:ind w:left="0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Наличие сервиса  «банк-клиент»</w:t>
                  </w:r>
                </w:p>
              </w:tc>
              <w:tc>
                <w:tcPr>
                  <w:tcW w:w="184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0,1</w:t>
                  </w:r>
                </w:p>
              </w:tc>
              <w:tc>
                <w:tcPr>
                  <w:tcW w:w="2268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9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  <w:tr w:rsidR="00875780" w:rsidRPr="00875780" w:rsidTr="00D945D9">
              <w:tc>
                <w:tcPr>
                  <w:tcW w:w="7054" w:type="dxa"/>
                  <w:gridSpan w:val="3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  <w:r w:rsidRPr="00875780">
                    <w:rPr>
                      <w:sz w:val="16"/>
                      <w:szCs w:val="16"/>
                    </w:rPr>
                    <w:t>Итого баллов в соответствии с заявкой участника:</w:t>
                  </w:r>
                </w:p>
              </w:tc>
              <w:tc>
                <w:tcPr>
                  <w:tcW w:w="2193" w:type="dxa"/>
                </w:tcPr>
                <w:p w:rsidR="00875780" w:rsidRPr="00875780" w:rsidRDefault="00875780" w:rsidP="00875780">
                  <w:pPr>
                    <w:pStyle w:val="af1"/>
                    <w:spacing w:line="240" w:lineRule="auto"/>
                    <w:ind w:left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875780" w:rsidRPr="00BB3F00" w:rsidRDefault="00875780" w:rsidP="006E19D0">
            <w:pPr>
              <w:pStyle w:val="af1"/>
              <w:tabs>
                <w:tab w:val="left" w:pos="317"/>
              </w:tabs>
              <w:ind w:left="0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935" w:type="dxa"/>
          </w:tcPr>
          <w:p w:rsidR="00563BEE" w:rsidRDefault="00570834" w:rsidP="00085E4E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t>Суммарное значение критериев 1,1 является верным</w:t>
            </w:r>
            <w:r w:rsidR="00563BEE">
              <w:rPr>
                <w:rFonts w:ascii="Times New Roman" w:hAnsi="Times New Roman"/>
                <w:b/>
                <w:i/>
                <w:szCs w:val="28"/>
              </w:rPr>
              <w:t>.</w:t>
            </w:r>
          </w:p>
          <w:p w:rsidR="00563BEE" w:rsidRPr="00BB3F00" w:rsidRDefault="00563BEE" w:rsidP="005F71DE">
            <w:pPr>
              <w:pStyle w:val="af1"/>
              <w:tabs>
                <w:tab w:val="left" w:pos="318"/>
              </w:tabs>
              <w:ind w:left="34"/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570834" w:rsidTr="00563BEE">
        <w:tc>
          <w:tcPr>
            <w:tcW w:w="1843" w:type="dxa"/>
          </w:tcPr>
          <w:p w:rsidR="00570834" w:rsidRDefault="00570834" w:rsidP="00875780">
            <w:pPr>
              <w:pStyle w:val="af1"/>
              <w:tabs>
                <w:tab w:val="left" w:pos="176"/>
              </w:tabs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Приложение к конкурсной документации </w:t>
            </w:r>
            <w:r w:rsidRPr="00875780">
              <w:rPr>
                <w:rFonts w:ascii="Times New Roman" w:hAnsi="Times New Roman"/>
                <w:u w:val="single"/>
              </w:rPr>
              <w:t>Форма</w:t>
            </w:r>
            <w:r w:rsidR="00875780">
              <w:rPr>
                <w:rFonts w:ascii="Times New Roman" w:hAnsi="Times New Roman"/>
                <w:u w:val="single"/>
              </w:rPr>
              <w:t xml:space="preserve"> </w:t>
            </w:r>
            <w:r w:rsidRPr="00875780">
              <w:rPr>
                <w:rFonts w:ascii="Times New Roman" w:hAnsi="Times New Roman"/>
                <w:u w:val="single"/>
              </w:rPr>
              <w:t>№5</w:t>
            </w:r>
            <w:r>
              <w:rPr>
                <w:rFonts w:ascii="Times New Roman" w:hAnsi="Times New Roman"/>
              </w:rPr>
              <w:t xml:space="preserve"> ДОГОВОР банковского счета (в валюте Российской Федерации) для </w:t>
            </w:r>
            <w:r>
              <w:rPr>
                <w:rFonts w:ascii="Times New Roman" w:hAnsi="Times New Roman"/>
              </w:rPr>
              <w:lastRenderedPageBreak/>
              <w:t>формирования фонда</w:t>
            </w:r>
            <w:r w:rsidR="003B039C">
              <w:rPr>
                <w:rFonts w:ascii="Times New Roman" w:hAnsi="Times New Roman"/>
              </w:rPr>
              <w:t xml:space="preserve"> капитального ремонта</w:t>
            </w:r>
          </w:p>
        </w:tc>
        <w:tc>
          <w:tcPr>
            <w:tcW w:w="3686" w:type="dxa"/>
          </w:tcPr>
          <w:p w:rsidR="00875780" w:rsidRPr="00875780" w:rsidRDefault="003B039C" w:rsidP="00875780">
            <w:pPr>
              <w:shd w:val="clear" w:color="auto" w:fill="FFFFFF"/>
              <w:ind w:right="-1" w:firstLine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Текст п.2.8. изложен в следующей редакции «</w:t>
            </w:r>
            <w:r w:rsidR="00875780" w:rsidRPr="00875780">
              <w:rPr>
                <w:rFonts w:ascii="Times New Roman" w:hAnsi="Times New Roman"/>
              </w:rPr>
              <w:t>Сторона считается извещенной надлежащим образом с даты:</w:t>
            </w:r>
          </w:p>
          <w:p w:rsidR="00875780" w:rsidRPr="00875780" w:rsidRDefault="00875780" w:rsidP="00875780">
            <w:pPr>
              <w:shd w:val="clear" w:color="auto" w:fill="FFFFFF"/>
              <w:tabs>
                <w:tab w:val="num" w:pos="1134"/>
              </w:tabs>
              <w:autoSpaceDE w:val="0"/>
              <w:autoSpaceDN w:val="0"/>
              <w:ind w:right="-1" w:firstLine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5780">
              <w:rPr>
                <w:rFonts w:ascii="Times New Roman" w:hAnsi="Times New Roman"/>
              </w:rPr>
              <w:t>получения письменного извещения уполномоченным лицом Стороны по месту ведения Счета;</w:t>
            </w:r>
          </w:p>
          <w:p w:rsidR="00875780" w:rsidRPr="00875780" w:rsidRDefault="00875780" w:rsidP="00875780">
            <w:pPr>
              <w:shd w:val="clear" w:color="auto" w:fill="FFFFFF"/>
              <w:tabs>
                <w:tab w:val="num" w:pos="1134"/>
              </w:tabs>
              <w:ind w:right="-1" w:firstLine="83"/>
              <w:jc w:val="both"/>
              <w:rPr>
                <w:rFonts w:ascii="Times New Roman" w:hAnsi="Times New Roman"/>
              </w:rPr>
            </w:pPr>
            <w:r w:rsidRPr="00875780">
              <w:rPr>
                <w:rFonts w:ascii="Times New Roman" w:hAnsi="Times New Roman"/>
              </w:rPr>
              <w:t>либо</w:t>
            </w:r>
          </w:p>
          <w:p w:rsidR="00875780" w:rsidRPr="00875780" w:rsidRDefault="00875780" w:rsidP="00875780">
            <w:pPr>
              <w:shd w:val="clear" w:color="auto" w:fill="FFFFFF"/>
              <w:tabs>
                <w:tab w:val="num" w:pos="1134"/>
              </w:tabs>
              <w:autoSpaceDE w:val="0"/>
              <w:autoSpaceDN w:val="0"/>
              <w:ind w:left="83" w:right="-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5780">
              <w:rPr>
                <w:rFonts w:ascii="Times New Roman" w:hAnsi="Times New Roman"/>
              </w:rPr>
              <w:t xml:space="preserve">направления другой Стороной извещения с использованием системы “Клиент-Сбербанк” </w:t>
            </w:r>
            <w:r w:rsidRPr="00875780">
              <w:rPr>
                <w:rFonts w:ascii="Times New Roman" w:hAnsi="Times New Roman"/>
              </w:rPr>
              <w:lastRenderedPageBreak/>
              <w:t>или аналогичных систем;</w:t>
            </w:r>
          </w:p>
          <w:p w:rsidR="00875780" w:rsidRPr="00875780" w:rsidRDefault="00875780" w:rsidP="00875780">
            <w:pPr>
              <w:shd w:val="clear" w:color="auto" w:fill="FFFFFF"/>
              <w:tabs>
                <w:tab w:val="num" w:pos="1134"/>
              </w:tabs>
              <w:ind w:right="-1" w:firstLine="83"/>
              <w:jc w:val="both"/>
              <w:rPr>
                <w:rFonts w:ascii="Times New Roman" w:hAnsi="Times New Roman"/>
              </w:rPr>
            </w:pPr>
            <w:r w:rsidRPr="00875780">
              <w:rPr>
                <w:rFonts w:ascii="Times New Roman" w:hAnsi="Times New Roman"/>
              </w:rPr>
              <w:t>либо</w:t>
            </w:r>
          </w:p>
          <w:p w:rsidR="00570834" w:rsidRDefault="00875780" w:rsidP="00875780">
            <w:pPr>
              <w:pStyle w:val="af1"/>
              <w:tabs>
                <w:tab w:val="left" w:pos="317"/>
              </w:tabs>
              <w:ind w:left="0" w:firstLine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875780">
              <w:rPr>
                <w:rFonts w:ascii="Times New Roman" w:hAnsi="Times New Roman"/>
              </w:rPr>
              <w:t>отстоящей от даты отправки извещения заказным письмом по почте на величину почтового пробега в пределах субъекта Российской Федерации</w:t>
            </w:r>
            <w:r w:rsidR="003B039C">
              <w:rPr>
                <w:rFonts w:ascii="Times New Roman" w:hAnsi="Times New Roman"/>
              </w:rPr>
              <w:t>»</w:t>
            </w:r>
          </w:p>
          <w:p w:rsidR="000321A9" w:rsidRDefault="000321A9" w:rsidP="000321A9">
            <w:pPr>
              <w:pStyle w:val="af1"/>
              <w:tabs>
                <w:tab w:val="left" w:pos="317"/>
              </w:tabs>
              <w:ind w:left="0" w:firstLine="8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i/>
                <w:iCs/>
                <w:szCs w:val="24"/>
              </w:rPr>
              <w:t xml:space="preserve">Предлагается внести изменения в конкурсную документацию в соответствии с положениями </w:t>
            </w:r>
            <w:proofErr w:type="gramStart"/>
            <w:r>
              <w:rPr>
                <w:rFonts w:ascii="Times New Roman" w:hAnsi="Times New Roman"/>
                <w:bCs/>
                <w:i/>
                <w:iCs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i/>
                <w:iCs/>
                <w:szCs w:val="24"/>
              </w:rPr>
              <w:t>.1 ст. 17 Закона о защите конкуренции, в части формата договоров на расчетное обслуживание счетов.</w:t>
            </w:r>
          </w:p>
        </w:tc>
        <w:tc>
          <w:tcPr>
            <w:tcW w:w="3935" w:type="dxa"/>
          </w:tcPr>
          <w:p w:rsidR="00570834" w:rsidRDefault="008C2F92" w:rsidP="008C2F92">
            <w:pPr>
              <w:pStyle w:val="af1"/>
              <w:tabs>
                <w:tab w:val="left" w:pos="318"/>
              </w:tabs>
              <w:ind w:left="34"/>
              <w:rPr>
                <w:rFonts w:ascii="Times New Roman" w:hAnsi="Times New Roman"/>
                <w:b/>
                <w:i/>
                <w:szCs w:val="28"/>
              </w:rPr>
            </w:pPr>
            <w:r>
              <w:rPr>
                <w:rFonts w:ascii="Times New Roman" w:hAnsi="Times New Roman"/>
                <w:b/>
                <w:i/>
                <w:szCs w:val="28"/>
              </w:rPr>
              <w:lastRenderedPageBreak/>
              <w:t xml:space="preserve">В конкурсную документацию </w:t>
            </w:r>
            <w:r w:rsidR="00D945D9">
              <w:rPr>
                <w:rFonts w:ascii="Times New Roman" w:hAnsi="Times New Roman"/>
                <w:b/>
                <w:i/>
                <w:szCs w:val="28"/>
              </w:rPr>
              <w:t>будут внесены изменения.</w:t>
            </w:r>
          </w:p>
        </w:tc>
      </w:tr>
    </w:tbl>
    <w:p w:rsidR="00051316" w:rsidRDefault="00051316" w:rsidP="00051316">
      <w:pPr>
        <w:rPr>
          <w:rFonts w:ascii="Times New Roman" w:hAnsi="Times New Roman"/>
          <w:sz w:val="28"/>
          <w:szCs w:val="28"/>
        </w:rPr>
      </w:pPr>
    </w:p>
    <w:sectPr w:rsidR="00051316" w:rsidSect="008A01E9">
      <w:pgSz w:w="11906" w:h="16838"/>
      <w:pgMar w:top="1134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2E" w:rsidRDefault="0093352E" w:rsidP="00725727">
      <w:pPr>
        <w:spacing w:after="0" w:line="240" w:lineRule="auto"/>
      </w:pPr>
      <w:r>
        <w:separator/>
      </w:r>
    </w:p>
  </w:endnote>
  <w:endnote w:type="continuationSeparator" w:id="0">
    <w:p w:rsidR="0093352E" w:rsidRDefault="0093352E" w:rsidP="007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2E" w:rsidRDefault="0093352E" w:rsidP="00725727">
      <w:pPr>
        <w:spacing w:after="0" w:line="240" w:lineRule="auto"/>
      </w:pPr>
      <w:r>
        <w:separator/>
      </w:r>
    </w:p>
  </w:footnote>
  <w:footnote w:type="continuationSeparator" w:id="0">
    <w:p w:rsidR="0093352E" w:rsidRDefault="0093352E" w:rsidP="007257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72E2A"/>
    <w:multiLevelType w:val="hybridMultilevel"/>
    <w:tmpl w:val="5A48F06C"/>
    <w:lvl w:ilvl="0" w:tplc="A770174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EB61EC1"/>
    <w:multiLevelType w:val="hybridMultilevel"/>
    <w:tmpl w:val="5B8EDADE"/>
    <w:lvl w:ilvl="0" w:tplc="6824AB5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122557A2"/>
    <w:multiLevelType w:val="hybridMultilevel"/>
    <w:tmpl w:val="39C48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C3BAE"/>
    <w:multiLevelType w:val="hybridMultilevel"/>
    <w:tmpl w:val="42FAD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0732D"/>
    <w:multiLevelType w:val="hybridMultilevel"/>
    <w:tmpl w:val="5ED205DC"/>
    <w:lvl w:ilvl="0" w:tplc="5C72F9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131564"/>
    <w:multiLevelType w:val="hybridMultilevel"/>
    <w:tmpl w:val="82987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D3CE3"/>
    <w:multiLevelType w:val="singleLevel"/>
    <w:tmpl w:val="0DCA5CD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1B202C4"/>
    <w:multiLevelType w:val="hybridMultilevel"/>
    <w:tmpl w:val="0462787E"/>
    <w:lvl w:ilvl="0" w:tplc="F1F86AA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BE72404"/>
    <w:multiLevelType w:val="hybridMultilevel"/>
    <w:tmpl w:val="F2CC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C16A5B"/>
    <w:rsid w:val="000321A9"/>
    <w:rsid w:val="00051316"/>
    <w:rsid w:val="00054B26"/>
    <w:rsid w:val="00085E4E"/>
    <w:rsid w:val="00090C72"/>
    <w:rsid w:val="00113BEA"/>
    <w:rsid w:val="00164BC0"/>
    <w:rsid w:val="00197CCE"/>
    <w:rsid w:val="00202F67"/>
    <w:rsid w:val="00203B54"/>
    <w:rsid w:val="0021515B"/>
    <w:rsid w:val="002B6CC0"/>
    <w:rsid w:val="002D3385"/>
    <w:rsid w:val="002E7DF5"/>
    <w:rsid w:val="002F7153"/>
    <w:rsid w:val="00326098"/>
    <w:rsid w:val="00342E17"/>
    <w:rsid w:val="003A6EE4"/>
    <w:rsid w:val="003B039C"/>
    <w:rsid w:val="00440EF7"/>
    <w:rsid w:val="00480D2D"/>
    <w:rsid w:val="004B103C"/>
    <w:rsid w:val="005106CA"/>
    <w:rsid w:val="0051317C"/>
    <w:rsid w:val="00522149"/>
    <w:rsid w:val="005314F6"/>
    <w:rsid w:val="005462F8"/>
    <w:rsid w:val="00563BEE"/>
    <w:rsid w:val="00570834"/>
    <w:rsid w:val="005869BB"/>
    <w:rsid w:val="005B259C"/>
    <w:rsid w:val="005F71DE"/>
    <w:rsid w:val="00630606"/>
    <w:rsid w:val="006D3655"/>
    <w:rsid w:val="006E19D0"/>
    <w:rsid w:val="006E53EB"/>
    <w:rsid w:val="007165A5"/>
    <w:rsid w:val="00725727"/>
    <w:rsid w:val="00767701"/>
    <w:rsid w:val="007E243E"/>
    <w:rsid w:val="00833556"/>
    <w:rsid w:val="00875780"/>
    <w:rsid w:val="008A01E9"/>
    <w:rsid w:val="008C2F92"/>
    <w:rsid w:val="008C587C"/>
    <w:rsid w:val="008F4F4E"/>
    <w:rsid w:val="0093352E"/>
    <w:rsid w:val="00933631"/>
    <w:rsid w:val="0096277D"/>
    <w:rsid w:val="00971221"/>
    <w:rsid w:val="009A31B1"/>
    <w:rsid w:val="009C12A5"/>
    <w:rsid w:val="009D5440"/>
    <w:rsid w:val="00B16B58"/>
    <w:rsid w:val="00BB3F00"/>
    <w:rsid w:val="00C03912"/>
    <w:rsid w:val="00C16A5B"/>
    <w:rsid w:val="00C23A74"/>
    <w:rsid w:val="00C60764"/>
    <w:rsid w:val="00D521F9"/>
    <w:rsid w:val="00D61EBF"/>
    <w:rsid w:val="00D75E53"/>
    <w:rsid w:val="00D87610"/>
    <w:rsid w:val="00D945D9"/>
    <w:rsid w:val="00DB7CF3"/>
    <w:rsid w:val="00DD02DF"/>
    <w:rsid w:val="00DD5348"/>
    <w:rsid w:val="00E16230"/>
    <w:rsid w:val="00E54809"/>
    <w:rsid w:val="00E57B08"/>
    <w:rsid w:val="00E95267"/>
    <w:rsid w:val="00ED2C84"/>
    <w:rsid w:val="00F91A13"/>
    <w:rsid w:val="00FD1489"/>
    <w:rsid w:val="00FE6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4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40E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A5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C16A5B"/>
  </w:style>
  <w:style w:type="paragraph" w:styleId="a5">
    <w:name w:val="Normal (Web)"/>
    <w:basedOn w:val="a"/>
    <w:uiPriority w:val="99"/>
    <w:unhideWhenUsed/>
    <w:rsid w:val="00C039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3912"/>
  </w:style>
  <w:style w:type="paragraph" w:styleId="a6">
    <w:name w:val="footer"/>
    <w:basedOn w:val="a"/>
    <w:link w:val="a7"/>
    <w:uiPriority w:val="99"/>
    <w:unhideWhenUsed/>
    <w:rsid w:val="0072572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725727"/>
  </w:style>
  <w:style w:type="paragraph" w:customStyle="1" w:styleId="a8">
    <w:name w:val="Без интервала Знак Знак Знак"/>
    <w:basedOn w:val="a"/>
    <w:link w:val="a9"/>
    <w:qFormat/>
    <w:rsid w:val="00522149"/>
    <w:pPr>
      <w:spacing w:after="0" w:line="240" w:lineRule="auto"/>
      <w:jc w:val="both"/>
    </w:pPr>
    <w:rPr>
      <w:rFonts w:ascii="Times New Roman" w:hAnsi="Times New Roman"/>
      <w:color w:val="000000"/>
      <w:lang w:val="en-US" w:bidi="en-US"/>
    </w:rPr>
  </w:style>
  <w:style w:type="character" w:customStyle="1" w:styleId="a9">
    <w:name w:val="Без интервала Знак Знак Знак Знак"/>
    <w:link w:val="a8"/>
    <w:rsid w:val="00522149"/>
    <w:rPr>
      <w:rFonts w:ascii="Times New Roman" w:eastAsia="Calibri" w:hAnsi="Times New Roman" w:cs="Times New Roman"/>
      <w:color w:val="000000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767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7701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0E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c">
    <w:name w:val="Body Text"/>
    <w:basedOn w:val="a"/>
    <w:link w:val="ad"/>
    <w:semiHidden/>
    <w:rsid w:val="00202F67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02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B6CC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2B6CC0"/>
    <w:rPr>
      <w:rFonts w:ascii="Calibri" w:eastAsia="Calibri" w:hAnsi="Calibri" w:cs="Times New Roman"/>
    </w:rPr>
  </w:style>
  <w:style w:type="table" w:styleId="af0">
    <w:name w:val="Table Grid"/>
    <w:basedOn w:val="a1"/>
    <w:uiPriority w:val="59"/>
    <w:rsid w:val="00051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B3F00"/>
    <w:pPr>
      <w:ind w:left="720"/>
      <w:contextualSpacing/>
    </w:pPr>
  </w:style>
  <w:style w:type="character" w:styleId="af2">
    <w:name w:val="Hyperlink"/>
    <w:rsid w:val="0093363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FDED8-54DA-40D4-B521-7C85E673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Ws09</dc:creator>
  <cp:lastModifiedBy>Wk-15</cp:lastModifiedBy>
  <cp:revision>6</cp:revision>
  <cp:lastPrinted>2014-06-03T10:31:00Z</cp:lastPrinted>
  <dcterms:created xsi:type="dcterms:W3CDTF">2014-06-03T10:03:00Z</dcterms:created>
  <dcterms:modified xsi:type="dcterms:W3CDTF">2014-06-03T10:44:00Z</dcterms:modified>
</cp:coreProperties>
</file>