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36" w:rsidRDefault="00EA6136" w:rsidP="00B7303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:rsidR="000C0E8A" w:rsidRDefault="000C0E8A" w:rsidP="00B7303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:rsidR="00B80CAB" w:rsidRDefault="006D27C8" w:rsidP="00F3084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</w:t>
      </w:r>
      <w:r w:rsidR="00B80CAB" w:rsidRPr="00B80C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2 </w:t>
      </w:r>
      <w:r w:rsidR="00B80CAB" w:rsidRPr="00B80CAB">
        <w:rPr>
          <w:rFonts w:ascii="Times New Roman" w:hAnsi="Times New Roman"/>
          <w:b/>
          <w:sz w:val="28"/>
          <w:szCs w:val="28"/>
        </w:rPr>
        <w:t>положений конкурсной документации</w:t>
      </w:r>
      <w:r w:rsidR="00B73034">
        <w:rPr>
          <w:rFonts w:ascii="Times New Roman" w:hAnsi="Times New Roman"/>
          <w:b/>
          <w:sz w:val="28"/>
          <w:szCs w:val="28"/>
        </w:rPr>
        <w:t>.</w:t>
      </w:r>
    </w:p>
    <w:p w:rsidR="00B73034" w:rsidRDefault="00B73034" w:rsidP="00F3084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D27C8" w:rsidRDefault="00B80CAB" w:rsidP="006D27C8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80CAB">
        <w:rPr>
          <w:rFonts w:ascii="Times New Roman" w:hAnsi="Times New Roman"/>
          <w:bCs/>
          <w:sz w:val="28"/>
          <w:szCs w:val="28"/>
        </w:rPr>
        <w:t xml:space="preserve">по отбору </w:t>
      </w:r>
      <w:r w:rsidRPr="00B80CAB">
        <w:rPr>
          <w:rFonts w:ascii="Times New Roman" w:hAnsi="Times New Roman"/>
          <w:sz w:val="28"/>
          <w:szCs w:val="28"/>
        </w:rPr>
        <w:t>подрядной организации на оказание услуг</w:t>
      </w:r>
      <w:r w:rsidRPr="00B80CAB">
        <w:t xml:space="preserve"> </w:t>
      </w:r>
      <w:r w:rsidRPr="00B80CAB">
        <w:rPr>
          <w:rFonts w:ascii="Times New Roman" w:hAnsi="Times New Roman"/>
          <w:sz w:val="28"/>
          <w:szCs w:val="28"/>
        </w:rPr>
        <w:t xml:space="preserve">по </w:t>
      </w:r>
      <w:r w:rsidR="005636FD">
        <w:rPr>
          <w:rFonts w:ascii="Times New Roman" w:hAnsi="Times New Roman"/>
          <w:sz w:val="28"/>
          <w:szCs w:val="28"/>
        </w:rPr>
        <w:t>предпечатной подготовке</w:t>
      </w:r>
      <w:r w:rsidR="00D36378">
        <w:rPr>
          <w:rFonts w:ascii="Times New Roman" w:hAnsi="Times New Roman"/>
          <w:sz w:val="28"/>
          <w:szCs w:val="28"/>
        </w:rPr>
        <w:t xml:space="preserve">, формированию данных печати, распечатке, конвертированию и упаковке счетов-квитанций </w:t>
      </w:r>
    </w:p>
    <w:p w:rsidR="00B80CAB" w:rsidRPr="00B80CAB" w:rsidRDefault="00B80CAB" w:rsidP="006D27C8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(извещение № </w:t>
      </w:r>
      <w:r>
        <w:rPr>
          <w:rFonts w:ascii="Times New Roman" w:hAnsi="Times New Roman"/>
          <w:sz w:val="28"/>
          <w:szCs w:val="28"/>
        </w:rPr>
        <w:t>ОК-00</w:t>
      </w:r>
      <w:r w:rsidR="008C1B4E">
        <w:rPr>
          <w:rFonts w:ascii="Times New Roman" w:hAnsi="Times New Roman"/>
          <w:sz w:val="28"/>
          <w:szCs w:val="28"/>
        </w:rPr>
        <w:t>1</w:t>
      </w:r>
      <w:r w:rsidRPr="00B80CAB">
        <w:rPr>
          <w:rFonts w:ascii="Times New Roman" w:hAnsi="Times New Roman"/>
          <w:sz w:val="28"/>
          <w:szCs w:val="28"/>
        </w:rPr>
        <w:t xml:space="preserve">-2016 от </w:t>
      </w:r>
      <w:r>
        <w:rPr>
          <w:rFonts w:ascii="Times New Roman" w:hAnsi="Times New Roman"/>
          <w:sz w:val="28"/>
          <w:szCs w:val="28"/>
        </w:rPr>
        <w:t>31</w:t>
      </w:r>
      <w:r w:rsidRPr="00B80C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80CAB">
        <w:rPr>
          <w:rFonts w:ascii="Times New Roman" w:hAnsi="Times New Roman"/>
          <w:sz w:val="28"/>
          <w:szCs w:val="28"/>
        </w:rPr>
        <w:t xml:space="preserve">.2016г.) </w:t>
      </w:r>
    </w:p>
    <w:tbl>
      <w:tblPr>
        <w:tblStyle w:val="af6"/>
        <w:tblW w:w="10632" w:type="dxa"/>
        <w:tblInd w:w="-459" w:type="dxa"/>
        <w:tblLook w:val="04A0"/>
      </w:tblPr>
      <w:tblGrid>
        <w:gridCol w:w="617"/>
        <w:gridCol w:w="2785"/>
        <w:gridCol w:w="3119"/>
        <w:gridCol w:w="4111"/>
      </w:tblGrid>
      <w:tr w:rsidR="00EA6136" w:rsidRPr="00C353A7" w:rsidTr="00C353A7">
        <w:trPr>
          <w:tblHeader/>
        </w:trPr>
        <w:tc>
          <w:tcPr>
            <w:tcW w:w="617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Пункт конкурсной документации, в отношении которого необходимо предоставить разъяснения</w:t>
            </w:r>
          </w:p>
        </w:tc>
        <w:tc>
          <w:tcPr>
            <w:tcW w:w="3119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4111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EA6136" w:rsidRPr="00C353A7" w:rsidTr="001F2435">
        <w:tc>
          <w:tcPr>
            <w:tcW w:w="617" w:type="dxa"/>
          </w:tcPr>
          <w:p w:rsidR="00EA6136" w:rsidRPr="00C353A7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EA6136" w:rsidRPr="00C353A7" w:rsidRDefault="00EA6136" w:rsidP="008C1B4E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п.</w:t>
            </w:r>
            <w:r w:rsidR="0006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B4E">
              <w:rPr>
                <w:rFonts w:ascii="Times New Roman" w:hAnsi="Times New Roman"/>
                <w:sz w:val="24"/>
                <w:szCs w:val="24"/>
              </w:rPr>
              <w:t>п. 6 п.</w:t>
            </w:r>
            <w:r w:rsidRPr="00C353A7">
              <w:rPr>
                <w:rFonts w:ascii="Times New Roman" w:hAnsi="Times New Roman"/>
                <w:sz w:val="24"/>
                <w:szCs w:val="24"/>
              </w:rPr>
              <w:t xml:space="preserve"> 3.1.1.</w:t>
            </w:r>
          </w:p>
        </w:tc>
        <w:tc>
          <w:tcPr>
            <w:tcW w:w="3119" w:type="dxa"/>
          </w:tcPr>
          <w:p w:rsidR="00EA6136" w:rsidRDefault="00F40050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Будет ли допущен участник до открытого конкурса не выполнивший данное условие?</w:t>
            </w:r>
          </w:p>
          <w:p w:rsidR="00F40050" w:rsidRDefault="00F40050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0B5" w:rsidRDefault="002D00B5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27C8" w:rsidRDefault="006D27C8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00B5" w:rsidRDefault="002D00B5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216" w:rsidRDefault="00F40050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ФГУП «Почта России» успешно сотрудничает с Фондом капитального ремонта в Тамбовской области</w:t>
            </w:r>
            <w:r w:rsidR="00B820A0">
              <w:rPr>
                <w:rFonts w:ascii="Times New Roman" w:hAnsi="Times New Roman"/>
                <w:i/>
                <w:sz w:val="24"/>
                <w:szCs w:val="24"/>
              </w:rPr>
              <w:t>. При заключении договоров в данных областях не были выдвинуты подобные условия. В связи с чем выставлено данное условие в Липецкой области</w:t>
            </w:r>
            <w:r w:rsidR="00F30216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F30216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050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Возможно </w:t>
            </w:r>
            <w:r w:rsidR="009D0DDF">
              <w:rPr>
                <w:rFonts w:ascii="Times New Roman" w:hAnsi="Times New Roman"/>
                <w:i/>
                <w:sz w:val="24"/>
                <w:szCs w:val="24"/>
              </w:rPr>
              <w:t>ли исключение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данного условия из требования к заявке на участие в открытом конкурсе?</w:t>
            </w:r>
          </w:p>
          <w:p w:rsidR="00F30216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6509" w:rsidRDefault="00056509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216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Какие документы подтверждают опыт работы в программе «Эттон»?</w:t>
            </w:r>
          </w:p>
          <w:p w:rsidR="00E23365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Каким образом происходит подтверждение наличия аналогичны</w:t>
            </w:r>
            <w:r w:rsidR="0011558B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договоров с Фондами капитальных ремонтов в других регионах, которые также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работают по программному обеспечению «Эттон», если в проекте договора нет такого требования? </w:t>
            </w:r>
          </w:p>
          <w:p w:rsidR="00E23365" w:rsidRDefault="00E23365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365" w:rsidRDefault="00E23365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365" w:rsidRDefault="00E23365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216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Какую информацию дадут вам копии данных договоров? </w:t>
            </w:r>
          </w:p>
          <w:p w:rsidR="000968A3" w:rsidRDefault="000968A3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Техническом задании прописано, что Заказчик предоставляет базу данных для передачи Исполнителю в формате </w:t>
            </w:r>
            <w:r w:rsidR="004829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csv</w:t>
            </w:r>
            <w:r w:rsidR="00482928" w:rsidRPr="004829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4829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pdf</w:t>
            </w:r>
            <w:r w:rsidR="00482928" w:rsidRPr="004829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4829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xml</w:t>
            </w:r>
            <w:r w:rsidR="00482928" w:rsidRPr="004829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4829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txt</w:t>
            </w:r>
            <w:r w:rsidR="00482928" w:rsidRPr="004829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4829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dbf</w:t>
            </w:r>
            <w:r w:rsidR="00482928" w:rsidRPr="0048292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82928">
              <w:rPr>
                <w:rFonts w:ascii="Times New Roman" w:hAnsi="Times New Roman"/>
                <w:i/>
                <w:sz w:val="24"/>
                <w:szCs w:val="24"/>
              </w:rPr>
              <w:t xml:space="preserve"> После обработки базы данных полученных от Заказчика, Исполнитель производит их в печать. Каким образом</w:t>
            </w:r>
            <w:r w:rsidR="00FC2D12">
              <w:rPr>
                <w:rFonts w:ascii="Times New Roman" w:hAnsi="Times New Roman"/>
                <w:i/>
                <w:sz w:val="24"/>
                <w:szCs w:val="24"/>
              </w:rPr>
              <w:t xml:space="preserve"> данное программное обеспечение связано </w:t>
            </w:r>
            <w:r w:rsidR="007904A8">
              <w:rPr>
                <w:rFonts w:ascii="Times New Roman" w:hAnsi="Times New Roman"/>
                <w:i/>
                <w:sz w:val="24"/>
                <w:szCs w:val="24"/>
              </w:rPr>
              <w:t xml:space="preserve">с работой Исполнителя, для осуществления каких </w:t>
            </w:r>
            <w:r w:rsidR="007B1B21">
              <w:rPr>
                <w:rFonts w:ascii="Times New Roman" w:hAnsi="Times New Roman"/>
                <w:i/>
                <w:sz w:val="24"/>
                <w:szCs w:val="24"/>
              </w:rPr>
              <w:t>функций оно требуется Фонду капитального ремонта?</w:t>
            </w:r>
          </w:p>
          <w:p w:rsidR="007B1B21" w:rsidRPr="00482928" w:rsidRDefault="007B1B21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216" w:rsidRPr="00C353A7" w:rsidRDefault="00F30216" w:rsidP="00F40050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671" w:rsidRDefault="002D00B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 участников </w:t>
            </w:r>
            <w:r w:rsidR="0011558B">
              <w:rPr>
                <w:rFonts w:ascii="Times New Roman" w:hAnsi="Times New Roman"/>
                <w:sz w:val="24"/>
                <w:szCs w:val="24"/>
              </w:rPr>
              <w:t>закупки к участию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</w:t>
            </w:r>
            <w:r w:rsidR="001155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</w:t>
            </w:r>
            <w:r w:rsidR="0011558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</w:t>
            </w:r>
            <w:r w:rsidR="0011558B">
              <w:rPr>
                <w:rFonts w:ascii="Times New Roman" w:hAnsi="Times New Roman"/>
                <w:sz w:val="24"/>
                <w:szCs w:val="24"/>
              </w:rPr>
              <w:t xml:space="preserve">членами конкурсной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при условии соответствия всем требованиям, заявленным Заказчиком в конкурсной документации.</w:t>
            </w:r>
          </w:p>
          <w:p w:rsidR="00A25671" w:rsidRDefault="00A25671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25671" w:rsidRDefault="00A25671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капитального ремонта Липецкой области работает на программном обеспечении «Эттон», </w:t>
            </w:r>
            <w:r w:rsidR="001653B7">
              <w:rPr>
                <w:rFonts w:ascii="Times New Roman" w:hAnsi="Times New Roman"/>
                <w:sz w:val="24"/>
                <w:szCs w:val="24"/>
              </w:rPr>
              <w:t xml:space="preserve">вопрос о специфике работы </w:t>
            </w:r>
            <w:r w:rsidR="0011558B">
              <w:rPr>
                <w:rFonts w:ascii="Times New Roman" w:hAnsi="Times New Roman"/>
                <w:sz w:val="24"/>
                <w:szCs w:val="24"/>
              </w:rPr>
              <w:t>Ф</w:t>
            </w:r>
            <w:r w:rsidR="001653B7">
              <w:rPr>
                <w:rFonts w:ascii="Times New Roman" w:hAnsi="Times New Roman"/>
                <w:sz w:val="24"/>
                <w:szCs w:val="24"/>
              </w:rPr>
              <w:t xml:space="preserve">ондов капитального ремонта </w:t>
            </w:r>
            <w:r w:rsidR="0011558B">
              <w:rPr>
                <w:rFonts w:ascii="Times New Roman" w:hAnsi="Times New Roman"/>
                <w:sz w:val="24"/>
                <w:szCs w:val="24"/>
              </w:rPr>
              <w:t xml:space="preserve">других регионов </w:t>
            </w:r>
            <w:r w:rsidR="00CD287A">
              <w:rPr>
                <w:rFonts w:ascii="Times New Roman" w:hAnsi="Times New Roman"/>
                <w:sz w:val="24"/>
                <w:szCs w:val="24"/>
              </w:rPr>
              <w:t>задан не</w:t>
            </w:r>
            <w:r w:rsidR="001653B7">
              <w:rPr>
                <w:rFonts w:ascii="Times New Roman" w:hAnsi="Times New Roman"/>
                <w:sz w:val="24"/>
                <w:szCs w:val="24"/>
              </w:rPr>
              <w:t xml:space="preserve"> по существу.</w:t>
            </w:r>
          </w:p>
          <w:p w:rsidR="00A25671" w:rsidRDefault="00A25671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72640" w:rsidRDefault="00E72640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72640" w:rsidRDefault="00E72640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72640" w:rsidRDefault="00E72640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72640" w:rsidRDefault="00E72640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D27C8" w:rsidRDefault="006D27C8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72640" w:rsidRDefault="00E72640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условие имеет существенное значение для качественного и своевременного исполнения условий договора, поэтому не может быть исключено из требований конкурсной документации.</w:t>
            </w:r>
          </w:p>
          <w:p w:rsidR="00056509" w:rsidRDefault="00056509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56509" w:rsidRDefault="00056509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должен приложить заверенные копии аналогичных договоров, подтверждающих опыт работы в программе «Эттон». Также участник должен приложить договор</w:t>
            </w:r>
            <w:r w:rsidR="000A4E8D">
              <w:rPr>
                <w:rFonts w:ascii="Times New Roman" w:hAnsi="Times New Roman"/>
                <w:sz w:val="24"/>
                <w:szCs w:val="24"/>
              </w:rPr>
              <w:t>/ соглашение</w:t>
            </w:r>
            <w:r w:rsidR="006547FD">
              <w:rPr>
                <w:rFonts w:ascii="Times New Roman" w:hAnsi="Times New Roman"/>
                <w:sz w:val="24"/>
                <w:szCs w:val="24"/>
              </w:rPr>
              <w:t xml:space="preserve"> или иной документ, подтверждающий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 с компанией «Эттон». </w:t>
            </w:r>
          </w:p>
          <w:p w:rsidR="00E72640" w:rsidRDefault="00E72640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3365" w:rsidRDefault="00E23365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B79EE" w:rsidRPr="006B79EE" w:rsidRDefault="005546C9" w:rsidP="006B79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Исполнителем технологической подготовки данных к печати происходит непосредственно через программный продукт «Эттон»</w:t>
            </w:r>
            <w:r w:rsidR="006B79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3CED">
              <w:rPr>
                <w:rFonts w:ascii="Times New Roman" w:hAnsi="Times New Roman"/>
                <w:sz w:val="24"/>
                <w:szCs w:val="24"/>
              </w:rPr>
              <w:t xml:space="preserve">На стороне Исполнителя происходит </w:t>
            </w:r>
            <w:r w:rsidR="006B79EE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803CED">
              <w:rPr>
                <w:rFonts w:ascii="Times New Roman" w:hAnsi="Times New Roman"/>
                <w:sz w:val="24"/>
                <w:szCs w:val="24"/>
              </w:rPr>
              <w:t>е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 xml:space="preserve"> выгрузки из </w:t>
            </w:r>
            <w:r w:rsidR="006B79EE">
              <w:rPr>
                <w:rFonts w:ascii="Times New Roman" w:hAnsi="Times New Roman"/>
                <w:sz w:val="24"/>
                <w:szCs w:val="24"/>
              </w:rPr>
              <w:t>программного продукта «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>Эттон</w:t>
            </w:r>
            <w:r w:rsidR="006B79EE">
              <w:rPr>
                <w:rFonts w:ascii="Times New Roman" w:hAnsi="Times New Roman"/>
                <w:sz w:val="24"/>
                <w:szCs w:val="24"/>
              </w:rPr>
              <w:t>»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3686">
              <w:rPr>
                <w:rFonts w:ascii="Times New Roman" w:hAnsi="Times New Roman"/>
                <w:sz w:val="24"/>
                <w:szCs w:val="24"/>
              </w:rPr>
              <w:t xml:space="preserve">что требует </w:t>
            </w:r>
            <w:r w:rsidR="00FF289C">
              <w:rPr>
                <w:rFonts w:ascii="Times New Roman" w:hAnsi="Times New Roman"/>
                <w:sz w:val="24"/>
                <w:szCs w:val="24"/>
              </w:rPr>
              <w:t>определенных</w:t>
            </w:r>
            <w:r w:rsidR="002D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r w:rsidR="00FF289C">
              <w:rPr>
                <w:rFonts w:ascii="Times New Roman" w:hAnsi="Times New Roman"/>
                <w:sz w:val="24"/>
                <w:szCs w:val="24"/>
              </w:rPr>
              <w:t>х настроек</w:t>
            </w:r>
            <w:r w:rsidR="0011558B">
              <w:rPr>
                <w:rFonts w:ascii="Times New Roman" w:hAnsi="Times New Roman"/>
                <w:sz w:val="24"/>
                <w:szCs w:val="24"/>
              </w:rPr>
              <w:t>, которые должны обеспечивать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 xml:space="preserve"> корректное распознавание полей на стороне </w:t>
            </w:r>
            <w:r w:rsidR="00FF289C">
              <w:rPr>
                <w:rFonts w:ascii="Times New Roman" w:hAnsi="Times New Roman"/>
                <w:sz w:val="24"/>
                <w:szCs w:val="24"/>
              </w:rPr>
              <w:t>И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>сполнителя. Исполнитель должен на своей стороне формировать макет персонализации, обеспечить правильное формирование полей персонализации, qr-кода и таргетированного обращения к клиенту.</w:t>
            </w:r>
          </w:p>
          <w:p w:rsidR="006B79EE" w:rsidRPr="006B79EE" w:rsidRDefault="00EF4C70" w:rsidP="006B79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 xml:space="preserve">сполнитель должен иметь возможность, анализировать </w:t>
            </w:r>
            <w:r w:rsidRPr="006B79EE">
              <w:rPr>
                <w:rFonts w:ascii="Times New Roman" w:hAnsi="Times New Roman"/>
                <w:sz w:val="24"/>
                <w:szCs w:val="24"/>
              </w:rPr>
              <w:t>информацию,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 xml:space="preserve"> полученную </w:t>
            </w:r>
            <w:r w:rsidRPr="006B79EE">
              <w:rPr>
                <w:rFonts w:ascii="Times New Roman" w:hAnsi="Times New Roman"/>
                <w:sz w:val="24"/>
                <w:szCs w:val="24"/>
              </w:rPr>
              <w:t>при выгрузке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FF289C">
              <w:rPr>
                <w:rFonts w:ascii="Times New Roman" w:hAnsi="Times New Roman"/>
                <w:sz w:val="24"/>
                <w:szCs w:val="24"/>
              </w:rPr>
              <w:t>азы данных</w:t>
            </w:r>
            <w:r w:rsidR="006B79EE" w:rsidRPr="006B79EE">
              <w:rPr>
                <w:rFonts w:ascii="Times New Roman" w:hAnsi="Times New Roman"/>
                <w:sz w:val="24"/>
                <w:szCs w:val="24"/>
              </w:rPr>
              <w:t>, выделять сегментированную группу, формировать отчеты, вносить необходимые изменения и предоставлять статистику.</w:t>
            </w:r>
          </w:p>
          <w:p w:rsidR="006B79EE" w:rsidRPr="006B79EE" w:rsidRDefault="006B79EE" w:rsidP="006B79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9EE">
              <w:rPr>
                <w:rFonts w:ascii="Times New Roman" w:hAnsi="Times New Roman"/>
                <w:sz w:val="24"/>
                <w:szCs w:val="24"/>
              </w:rPr>
              <w:t>Исполнитель должен иметь в своем штате квалифицированных IT</w:t>
            </w:r>
            <w:r w:rsidR="00EF4C70">
              <w:rPr>
                <w:rFonts w:ascii="Times New Roman" w:hAnsi="Times New Roman"/>
                <w:sz w:val="24"/>
                <w:szCs w:val="24"/>
              </w:rPr>
              <w:t>-</w:t>
            </w:r>
            <w:r w:rsidRPr="006B79EE">
              <w:rPr>
                <w:rFonts w:ascii="Times New Roman" w:hAnsi="Times New Roman"/>
                <w:sz w:val="24"/>
                <w:szCs w:val="24"/>
              </w:rPr>
              <w:t>специалистов для совместной работы по доработк</w:t>
            </w:r>
            <w:r w:rsidR="00EF4C70">
              <w:rPr>
                <w:rFonts w:ascii="Times New Roman" w:hAnsi="Times New Roman"/>
                <w:sz w:val="24"/>
                <w:szCs w:val="24"/>
              </w:rPr>
              <w:t>е программного продукта</w:t>
            </w:r>
            <w:r w:rsidRPr="006B7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558B">
              <w:rPr>
                <w:rFonts w:ascii="Times New Roman" w:hAnsi="Times New Roman"/>
                <w:sz w:val="24"/>
                <w:szCs w:val="24"/>
              </w:rPr>
              <w:t>выявлению и</w:t>
            </w:r>
            <w:r w:rsidR="0011558B" w:rsidRPr="006B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C70" w:rsidRPr="006B79EE">
              <w:rPr>
                <w:rFonts w:ascii="Times New Roman" w:hAnsi="Times New Roman"/>
                <w:sz w:val="24"/>
                <w:szCs w:val="24"/>
              </w:rPr>
              <w:t>ус</w:t>
            </w:r>
            <w:r w:rsidR="00EF4C70">
              <w:rPr>
                <w:rFonts w:ascii="Times New Roman" w:hAnsi="Times New Roman"/>
                <w:sz w:val="24"/>
                <w:szCs w:val="24"/>
              </w:rPr>
              <w:t>транению ошибок в базе данных Заказчика.</w:t>
            </w:r>
          </w:p>
          <w:p w:rsidR="005546C9" w:rsidRPr="00C353A7" w:rsidRDefault="005546C9" w:rsidP="00554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5A4" w:rsidRDefault="004965A4" w:rsidP="00133D6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C1B4E" w:rsidRPr="001D4856" w:rsidRDefault="008C1B4E" w:rsidP="00E47B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1B4E" w:rsidRPr="001D4856" w:rsidSect="006D27C8">
      <w:headerReference w:type="first" r:id="rId7"/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F57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D2" w:rsidRDefault="00C061D2" w:rsidP="0080562B">
      <w:pPr>
        <w:spacing w:after="0" w:line="240" w:lineRule="auto"/>
      </w:pPr>
      <w:r>
        <w:separator/>
      </w:r>
    </w:p>
  </w:endnote>
  <w:endnote w:type="continuationSeparator" w:id="0">
    <w:p w:rsidR="00C061D2" w:rsidRDefault="00C061D2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D2" w:rsidRDefault="00C061D2" w:rsidP="0080562B">
      <w:pPr>
        <w:spacing w:after="0" w:line="240" w:lineRule="auto"/>
      </w:pPr>
      <w:r>
        <w:separator/>
      </w:r>
    </w:p>
  </w:footnote>
  <w:footnote w:type="continuationSeparator" w:id="0">
    <w:p w:rsidR="00C061D2" w:rsidRDefault="00C061D2" w:rsidP="0080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F" w:rsidRPr="00EC59CF" w:rsidRDefault="00EC59CF" w:rsidP="006D27C8">
    <w:pPr>
      <w:pStyle w:val="a3"/>
      <w:tabs>
        <w:tab w:val="left" w:pos="1080"/>
        <w:tab w:val="right" w:pos="1046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B"/>
    <w:multiLevelType w:val="hybridMultilevel"/>
    <w:tmpl w:val="9A2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972C3"/>
    <w:multiLevelType w:val="hybridMultilevel"/>
    <w:tmpl w:val="C2ACE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гова Ксения Александровна">
    <w15:presenceInfo w15:providerId="AD" w15:userId="S-1-5-21-2899842911-1012974739-4084515345-12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0562B"/>
    <w:rsid w:val="00005002"/>
    <w:rsid w:val="00007385"/>
    <w:rsid w:val="000221F2"/>
    <w:rsid w:val="0003349E"/>
    <w:rsid w:val="00033955"/>
    <w:rsid w:val="0004554A"/>
    <w:rsid w:val="00047712"/>
    <w:rsid w:val="00054ADF"/>
    <w:rsid w:val="00056509"/>
    <w:rsid w:val="0006083F"/>
    <w:rsid w:val="0006543F"/>
    <w:rsid w:val="00080E66"/>
    <w:rsid w:val="00084B9D"/>
    <w:rsid w:val="000968A3"/>
    <w:rsid w:val="000A4E8D"/>
    <w:rsid w:val="000A6498"/>
    <w:rsid w:val="000C0213"/>
    <w:rsid w:val="000C0E8A"/>
    <w:rsid w:val="000C4C5C"/>
    <w:rsid w:val="000F1346"/>
    <w:rsid w:val="00114F63"/>
    <w:rsid w:val="0011558B"/>
    <w:rsid w:val="00132C95"/>
    <w:rsid w:val="00133D61"/>
    <w:rsid w:val="0013636A"/>
    <w:rsid w:val="001449AA"/>
    <w:rsid w:val="00147F9F"/>
    <w:rsid w:val="00153061"/>
    <w:rsid w:val="00154601"/>
    <w:rsid w:val="001653B7"/>
    <w:rsid w:val="001831EC"/>
    <w:rsid w:val="00194AD0"/>
    <w:rsid w:val="001A2671"/>
    <w:rsid w:val="001B5E10"/>
    <w:rsid w:val="001C36EF"/>
    <w:rsid w:val="001C654B"/>
    <w:rsid w:val="001D0FB8"/>
    <w:rsid w:val="001D2F34"/>
    <w:rsid w:val="001D4856"/>
    <w:rsid w:val="001E18AA"/>
    <w:rsid w:val="001F016F"/>
    <w:rsid w:val="001F210C"/>
    <w:rsid w:val="00221611"/>
    <w:rsid w:val="00222A17"/>
    <w:rsid w:val="0023057D"/>
    <w:rsid w:val="00234832"/>
    <w:rsid w:val="00234D78"/>
    <w:rsid w:val="00242507"/>
    <w:rsid w:val="002531D1"/>
    <w:rsid w:val="0027005F"/>
    <w:rsid w:val="002A0DFB"/>
    <w:rsid w:val="002A3692"/>
    <w:rsid w:val="002B0E82"/>
    <w:rsid w:val="002B2D1E"/>
    <w:rsid w:val="002B3695"/>
    <w:rsid w:val="002B449F"/>
    <w:rsid w:val="002B4967"/>
    <w:rsid w:val="002C1E4A"/>
    <w:rsid w:val="002C5E18"/>
    <w:rsid w:val="002C7FE0"/>
    <w:rsid w:val="002D00B5"/>
    <w:rsid w:val="002D0A3C"/>
    <w:rsid w:val="002D2EAC"/>
    <w:rsid w:val="002D3686"/>
    <w:rsid w:val="002D7CA9"/>
    <w:rsid w:val="002E6D9F"/>
    <w:rsid w:val="002F12BF"/>
    <w:rsid w:val="0030401E"/>
    <w:rsid w:val="00324AA9"/>
    <w:rsid w:val="00343A09"/>
    <w:rsid w:val="00357009"/>
    <w:rsid w:val="00365C81"/>
    <w:rsid w:val="00382B4A"/>
    <w:rsid w:val="00383C5B"/>
    <w:rsid w:val="00387158"/>
    <w:rsid w:val="003B6CE9"/>
    <w:rsid w:val="003B7CA8"/>
    <w:rsid w:val="003C2D31"/>
    <w:rsid w:val="003D4E0E"/>
    <w:rsid w:val="003E38B4"/>
    <w:rsid w:val="004078E1"/>
    <w:rsid w:val="00441AC8"/>
    <w:rsid w:val="00442C24"/>
    <w:rsid w:val="004647A8"/>
    <w:rsid w:val="004679ED"/>
    <w:rsid w:val="004707ED"/>
    <w:rsid w:val="00473810"/>
    <w:rsid w:val="00481B64"/>
    <w:rsid w:val="00482928"/>
    <w:rsid w:val="0048575C"/>
    <w:rsid w:val="00487143"/>
    <w:rsid w:val="0049002B"/>
    <w:rsid w:val="004965A4"/>
    <w:rsid w:val="00497F6E"/>
    <w:rsid w:val="004A37B9"/>
    <w:rsid w:val="004A5332"/>
    <w:rsid w:val="004B505D"/>
    <w:rsid w:val="004C202D"/>
    <w:rsid w:val="004D1D7D"/>
    <w:rsid w:val="004F5556"/>
    <w:rsid w:val="00502950"/>
    <w:rsid w:val="00502A20"/>
    <w:rsid w:val="00504787"/>
    <w:rsid w:val="00534314"/>
    <w:rsid w:val="005546C9"/>
    <w:rsid w:val="005636FD"/>
    <w:rsid w:val="00564780"/>
    <w:rsid w:val="00591760"/>
    <w:rsid w:val="00591E49"/>
    <w:rsid w:val="00594B35"/>
    <w:rsid w:val="005A1433"/>
    <w:rsid w:val="005A27AE"/>
    <w:rsid w:val="005A5DC3"/>
    <w:rsid w:val="005B5916"/>
    <w:rsid w:val="005C54FC"/>
    <w:rsid w:val="005D4632"/>
    <w:rsid w:val="005E10DD"/>
    <w:rsid w:val="005F1C68"/>
    <w:rsid w:val="005F31D8"/>
    <w:rsid w:val="005F7070"/>
    <w:rsid w:val="0060089E"/>
    <w:rsid w:val="006340A7"/>
    <w:rsid w:val="00653B37"/>
    <w:rsid w:val="006547FD"/>
    <w:rsid w:val="0066363D"/>
    <w:rsid w:val="0066670F"/>
    <w:rsid w:val="00676822"/>
    <w:rsid w:val="0068545B"/>
    <w:rsid w:val="006947CE"/>
    <w:rsid w:val="00695727"/>
    <w:rsid w:val="006B79EE"/>
    <w:rsid w:val="006C37F7"/>
    <w:rsid w:val="006C4E86"/>
    <w:rsid w:val="006D27C8"/>
    <w:rsid w:val="006D34C1"/>
    <w:rsid w:val="006D58BA"/>
    <w:rsid w:val="006F0ECD"/>
    <w:rsid w:val="006F33D8"/>
    <w:rsid w:val="006F6047"/>
    <w:rsid w:val="00712CE2"/>
    <w:rsid w:val="00726432"/>
    <w:rsid w:val="00737276"/>
    <w:rsid w:val="00742ACA"/>
    <w:rsid w:val="00745A24"/>
    <w:rsid w:val="0075360A"/>
    <w:rsid w:val="007750A9"/>
    <w:rsid w:val="007837E2"/>
    <w:rsid w:val="0078509D"/>
    <w:rsid w:val="00785F61"/>
    <w:rsid w:val="0079046C"/>
    <w:rsid w:val="007904A8"/>
    <w:rsid w:val="007A512D"/>
    <w:rsid w:val="007A5E6A"/>
    <w:rsid w:val="007B1B21"/>
    <w:rsid w:val="007B3C0B"/>
    <w:rsid w:val="007B7E8D"/>
    <w:rsid w:val="007E14D9"/>
    <w:rsid w:val="007E2E2F"/>
    <w:rsid w:val="007F29C8"/>
    <w:rsid w:val="007F62AC"/>
    <w:rsid w:val="00803CED"/>
    <w:rsid w:val="0080562B"/>
    <w:rsid w:val="008609C7"/>
    <w:rsid w:val="008660B9"/>
    <w:rsid w:val="00881A73"/>
    <w:rsid w:val="0088685E"/>
    <w:rsid w:val="008A28D2"/>
    <w:rsid w:val="008A5E4F"/>
    <w:rsid w:val="008B489D"/>
    <w:rsid w:val="008C1B4E"/>
    <w:rsid w:val="008D0731"/>
    <w:rsid w:val="008D43D7"/>
    <w:rsid w:val="008D4623"/>
    <w:rsid w:val="008D4860"/>
    <w:rsid w:val="008D6F80"/>
    <w:rsid w:val="00913737"/>
    <w:rsid w:val="00914E0D"/>
    <w:rsid w:val="00915A0D"/>
    <w:rsid w:val="00921098"/>
    <w:rsid w:val="00924144"/>
    <w:rsid w:val="0093709A"/>
    <w:rsid w:val="00942B36"/>
    <w:rsid w:val="00951838"/>
    <w:rsid w:val="00971F77"/>
    <w:rsid w:val="00972456"/>
    <w:rsid w:val="009A3AEA"/>
    <w:rsid w:val="009B2FB2"/>
    <w:rsid w:val="009B412E"/>
    <w:rsid w:val="009C6E05"/>
    <w:rsid w:val="009D0DDF"/>
    <w:rsid w:val="009D1E1C"/>
    <w:rsid w:val="009D5903"/>
    <w:rsid w:val="009E0062"/>
    <w:rsid w:val="009E28C7"/>
    <w:rsid w:val="00A01436"/>
    <w:rsid w:val="00A25671"/>
    <w:rsid w:val="00A318C4"/>
    <w:rsid w:val="00A442AA"/>
    <w:rsid w:val="00A44D47"/>
    <w:rsid w:val="00A7111F"/>
    <w:rsid w:val="00AA06BE"/>
    <w:rsid w:val="00AA0926"/>
    <w:rsid w:val="00AB4E89"/>
    <w:rsid w:val="00AC0F7D"/>
    <w:rsid w:val="00AC2C2E"/>
    <w:rsid w:val="00AD293E"/>
    <w:rsid w:val="00AD7628"/>
    <w:rsid w:val="00AE4B5C"/>
    <w:rsid w:val="00B2347B"/>
    <w:rsid w:val="00B259EA"/>
    <w:rsid w:val="00B276A2"/>
    <w:rsid w:val="00B324F8"/>
    <w:rsid w:val="00B34FB9"/>
    <w:rsid w:val="00B4005D"/>
    <w:rsid w:val="00B40410"/>
    <w:rsid w:val="00B47689"/>
    <w:rsid w:val="00B47BA3"/>
    <w:rsid w:val="00B50615"/>
    <w:rsid w:val="00B51560"/>
    <w:rsid w:val="00B678B0"/>
    <w:rsid w:val="00B73034"/>
    <w:rsid w:val="00B80CAB"/>
    <w:rsid w:val="00B820A0"/>
    <w:rsid w:val="00B821D5"/>
    <w:rsid w:val="00B942C8"/>
    <w:rsid w:val="00B9610C"/>
    <w:rsid w:val="00BA0258"/>
    <w:rsid w:val="00BA7BA7"/>
    <w:rsid w:val="00BC1917"/>
    <w:rsid w:val="00BD5A56"/>
    <w:rsid w:val="00C061D2"/>
    <w:rsid w:val="00C20E51"/>
    <w:rsid w:val="00C22782"/>
    <w:rsid w:val="00C265BE"/>
    <w:rsid w:val="00C353A7"/>
    <w:rsid w:val="00C460B9"/>
    <w:rsid w:val="00C64088"/>
    <w:rsid w:val="00C65A98"/>
    <w:rsid w:val="00C677A3"/>
    <w:rsid w:val="00C7377A"/>
    <w:rsid w:val="00C74BF6"/>
    <w:rsid w:val="00C81F64"/>
    <w:rsid w:val="00C90B75"/>
    <w:rsid w:val="00C91A6C"/>
    <w:rsid w:val="00C92283"/>
    <w:rsid w:val="00C9284E"/>
    <w:rsid w:val="00CA2C74"/>
    <w:rsid w:val="00CA5885"/>
    <w:rsid w:val="00CA66B1"/>
    <w:rsid w:val="00CB7FED"/>
    <w:rsid w:val="00CD287A"/>
    <w:rsid w:val="00CF63DF"/>
    <w:rsid w:val="00D36378"/>
    <w:rsid w:val="00D36924"/>
    <w:rsid w:val="00D52769"/>
    <w:rsid w:val="00D548CC"/>
    <w:rsid w:val="00D732DC"/>
    <w:rsid w:val="00D86912"/>
    <w:rsid w:val="00D93AD5"/>
    <w:rsid w:val="00D94D6D"/>
    <w:rsid w:val="00DE3A80"/>
    <w:rsid w:val="00E008CF"/>
    <w:rsid w:val="00E1495A"/>
    <w:rsid w:val="00E17FF8"/>
    <w:rsid w:val="00E2016B"/>
    <w:rsid w:val="00E23365"/>
    <w:rsid w:val="00E23519"/>
    <w:rsid w:val="00E26401"/>
    <w:rsid w:val="00E30B88"/>
    <w:rsid w:val="00E36882"/>
    <w:rsid w:val="00E36EFB"/>
    <w:rsid w:val="00E40538"/>
    <w:rsid w:val="00E435CD"/>
    <w:rsid w:val="00E47B52"/>
    <w:rsid w:val="00E51118"/>
    <w:rsid w:val="00E649DE"/>
    <w:rsid w:val="00E6609E"/>
    <w:rsid w:val="00E67CE1"/>
    <w:rsid w:val="00E70577"/>
    <w:rsid w:val="00E70B53"/>
    <w:rsid w:val="00E72113"/>
    <w:rsid w:val="00E72640"/>
    <w:rsid w:val="00E81D57"/>
    <w:rsid w:val="00E841C0"/>
    <w:rsid w:val="00E93169"/>
    <w:rsid w:val="00E963B3"/>
    <w:rsid w:val="00EA22D2"/>
    <w:rsid w:val="00EA6136"/>
    <w:rsid w:val="00EB5ECE"/>
    <w:rsid w:val="00EB5F9B"/>
    <w:rsid w:val="00EC4846"/>
    <w:rsid w:val="00EC59CF"/>
    <w:rsid w:val="00ED5A32"/>
    <w:rsid w:val="00EE1BD5"/>
    <w:rsid w:val="00EF4C70"/>
    <w:rsid w:val="00F12B38"/>
    <w:rsid w:val="00F2361E"/>
    <w:rsid w:val="00F30216"/>
    <w:rsid w:val="00F30840"/>
    <w:rsid w:val="00F36CBB"/>
    <w:rsid w:val="00F40050"/>
    <w:rsid w:val="00F52336"/>
    <w:rsid w:val="00F76A0A"/>
    <w:rsid w:val="00F76C5B"/>
    <w:rsid w:val="00F778F1"/>
    <w:rsid w:val="00F77975"/>
    <w:rsid w:val="00FB5CAF"/>
    <w:rsid w:val="00FC2872"/>
    <w:rsid w:val="00FC2D12"/>
    <w:rsid w:val="00FC7FDA"/>
    <w:rsid w:val="00FF0088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0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B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80CAB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F3021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3021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30216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3021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3021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Владимировна</dc:creator>
  <cp:lastModifiedBy>bogdanova_uk</cp:lastModifiedBy>
  <cp:revision>3</cp:revision>
  <cp:lastPrinted>2016-09-08T06:44:00Z</cp:lastPrinted>
  <dcterms:created xsi:type="dcterms:W3CDTF">2016-09-12T14:05:00Z</dcterms:created>
  <dcterms:modified xsi:type="dcterms:W3CDTF">2016-09-12T14:07:00Z</dcterms:modified>
</cp:coreProperties>
</file>